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14" w:rsidRDefault="004B7014" w:rsidP="000E7392">
      <w:pPr>
        <w:jc w:val="both"/>
      </w:pPr>
      <w:r>
        <w:t xml:space="preserve">In instances where </w:t>
      </w:r>
      <w:r w:rsidR="000E7392">
        <w:t xml:space="preserve">Eastern Suffolk </w:t>
      </w:r>
      <w:r>
        <w:t xml:space="preserve">BOCES provides services to non-component districts or public governmental agencies, financial compensation for administrative services rendered </w:t>
      </w:r>
      <w:r w:rsidR="00B843C0">
        <w:t>may</w:t>
      </w:r>
      <w:r>
        <w:t xml:space="preserve"> be included in the financial proposal to which </w:t>
      </w:r>
      <w:r w:rsidR="000E7392">
        <w:t>ES</w:t>
      </w:r>
      <w:r>
        <w:t>BOCES and the district or agency agree.</w:t>
      </w:r>
    </w:p>
    <w:p w:rsidR="004B7014" w:rsidRPr="006219D9" w:rsidRDefault="004B7014" w:rsidP="000E7392">
      <w:pPr>
        <w:jc w:val="both"/>
        <w:rPr>
          <w:sz w:val="18"/>
          <w:szCs w:val="18"/>
        </w:rPr>
      </w:pPr>
    </w:p>
    <w:p w:rsidR="004B7014" w:rsidRDefault="004B7014" w:rsidP="000E7392">
      <w:pPr>
        <w:jc w:val="both"/>
      </w:pPr>
      <w:r>
        <w:t xml:space="preserve">Upon receipt of payment for those administrative charges, the accrued monies are to be credited to the </w:t>
      </w:r>
      <w:r w:rsidR="000E7392">
        <w:t>ES</w:t>
      </w:r>
      <w:r>
        <w:t>BOCES administrative budget.</w:t>
      </w:r>
    </w:p>
    <w:p w:rsidR="004B7014" w:rsidRPr="006219D9" w:rsidRDefault="004B7014" w:rsidP="000E7392">
      <w:pPr>
        <w:jc w:val="both"/>
        <w:rPr>
          <w:sz w:val="18"/>
          <w:szCs w:val="18"/>
        </w:rPr>
      </w:pPr>
    </w:p>
    <w:p w:rsidR="004B7014" w:rsidRDefault="004B7014" w:rsidP="000E7392">
      <w:pPr>
        <w:pStyle w:val="Heading4"/>
        <w:tabs>
          <w:tab w:val="clear" w:pos="547"/>
          <w:tab w:val="clear" w:pos="1080"/>
          <w:tab w:val="clear" w:pos="1440"/>
          <w:tab w:val="clear" w:pos="4507"/>
          <w:tab w:val="clear" w:pos="7200"/>
          <w:tab w:val="clear" w:pos="9000"/>
        </w:tabs>
        <w:spacing w:line="240" w:lineRule="auto"/>
        <w:rPr>
          <w:sz w:val="22"/>
        </w:rPr>
      </w:pPr>
      <w:r>
        <w:rPr>
          <w:sz w:val="22"/>
        </w:rPr>
        <w:t>Cross-Contracting</w:t>
      </w:r>
    </w:p>
    <w:p w:rsidR="004B7014" w:rsidRPr="006219D9" w:rsidRDefault="004B7014" w:rsidP="000E7392">
      <w:pPr>
        <w:jc w:val="both"/>
        <w:rPr>
          <w:sz w:val="14"/>
          <w:szCs w:val="14"/>
        </w:rPr>
      </w:pPr>
    </w:p>
    <w:p w:rsidR="004B7014" w:rsidRDefault="004B7014" w:rsidP="000E7392">
      <w:pPr>
        <w:pStyle w:val="BodyText"/>
        <w:tabs>
          <w:tab w:val="clear" w:pos="547"/>
          <w:tab w:val="clear" w:pos="1080"/>
          <w:tab w:val="clear" w:pos="1440"/>
          <w:tab w:val="clear" w:pos="4507"/>
          <w:tab w:val="clear" w:pos="7200"/>
          <w:tab w:val="clear" w:pos="9000"/>
        </w:tabs>
        <w:spacing w:line="240" w:lineRule="auto"/>
        <w:rPr>
          <w:sz w:val="22"/>
        </w:rPr>
      </w:pPr>
      <w:r>
        <w:rPr>
          <w:sz w:val="22"/>
        </w:rPr>
        <w:t xml:space="preserve">In instances where </w:t>
      </w:r>
      <w:r w:rsidR="000E7392">
        <w:rPr>
          <w:sz w:val="22"/>
        </w:rPr>
        <w:t>ES</w:t>
      </w:r>
      <w:r>
        <w:rPr>
          <w:sz w:val="22"/>
        </w:rPr>
        <w:t>BOCES provides services to components of another BOCES via a cross contract, a financial consideration for administrative services rendered in support of the service programs may be assessed.</w:t>
      </w:r>
    </w:p>
    <w:p w:rsidR="004B7014" w:rsidRDefault="004B7014" w:rsidP="000E7392">
      <w:pPr>
        <w:jc w:val="both"/>
      </w:pPr>
    </w:p>
    <w:p w:rsidR="004B7014" w:rsidRDefault="004B7014" w:rsidP="000E7392">
      <w:pPr>
        <w:jc w:val="both"/>
      </w:pPr>
      <w:r>
        <w:t xml:space="preserve">This administrative fee shall be determined </w:t>
      </w:r>
      <w:r w:rsidR="00B843C0">
        <w:t>by using the formula devised by the District Superintendents.</w:t>
      </w:r>
    </w:p>
    <w:p w:rsidR="00AE5CD8" w:rsidRPr="006219D9" w:rsidRDefault="00AE5CD8" w:rsidP="000E7392">
      <w:pPr>
        <w:jc w:val="both"/>
        <w:rPr>
          <w:sz w:val="18"/>
          <w:szCs w:val="18"/>
        </w:rPr>
      </w:pPr>
    </w:p>
    <w:p w:rsidR="00AE5CD8" w:rsidRDefault="00AE5CD8" w:rsidP="000E7392">
      <w:pPr>
        <w:jc w:val="both"/>
      </w:pPr>
      <w:r>
        <w:t>The general guidelines are:</w:t>
      </w:r>
    </w:p>
    <w:p w:rsidR="00AE5CD8" w:rsidRPr="00AE5CD8" w:rsidRDefault="00AE5CD8" w:rsidP="000E7392">
      <w:pPr>
        <w:jc w:val="both"/>
        <w:rPr>
          <w:sz w:val="16"/>
          <w:szCs w:val="16"/>
        </w:rPr>
      </w:pPr>
    </w:p>
    <w:p w:rsidR="00AE5CD8" w:rsidRDefault="00AE5CD8" w:rsidP="00AE5CD8">
      <w:pPr>
        <w:pStyle w:val="ListParagraph"/>
        <w:numPr>
          <w:ilvl w:val="0"/>
          <w:numId w:val="1"/>
        </w:numPr>
        <w:jc w:val="both"/>
      </w:pPr>
      <w:r>
        <w:t xml:space="preserve">Administrative cost percentage will be calculated by the BOCES School Operations and Finance Committee in January of each year using the most recent audited year’s costs, which are available at </w:t>
      </w:r>
      <w:hyperlink r:id="rId8" w:history="1">
        <w:r w:rsidRPr="00194B40">
          <w:rPr>
            <w:rStyle w:val="Hyperlink"/>
            <w:i/>
            <w:color w:val="000000" w:themeColor="text1"/>
            <w:u w:val="none"/>
          </w:rPr>
          <w:t>www.p12.nysed.gov/mgtserv/boces/budget</w:t>
        </w:r>
      </w:hyperlink>
      <w:r>
        <w:t xml:space="preserve"> (e.g., the 2016-2017 administrative cost percentage will be calculated with the 2014-2015 school year data).</w:t>
      </w:r>
    </w:p>
    <w:p w:rsidR="00AE5CD8" w:rsidRPr="00AE5CD8" w:rsidRDefault="00AE5CD8" w:rsidP="00AE5CD8">
      <w:pPr>
        <w:pStyle w:val="ListParagraph"/>
        <w:jc w:val="both"/>
        <w:rPr>
          <w:sz w:val="12"/>
          <w:szCs w:val="12"/>
        </w:rPr>
      </w:pPr>
    </w:p>
    <w:p w:rsidR="00AE5CD8" w:rsidRDefault="00AE5CD8" w:rsidP="00AE5CD8">
      <w:pPr>
        <w:pStyle w:val="ListParagraph"/>
        <w:numPr>
          <w:ilvl w:val="0"/>
          <w:numId w:val="1"/>
        </w:numPr>
        <w:jc w:val="both"/>
      </w:pPr>
      <w:r>
        <w:t>This administrative and capital expense will be divided by the total of BOCES expenses for that same audited fiscal year.</w:t>
      </w:r>
    </w:p>
    <w:p w:rsidR="004B7014" w:rsidRPr="00AE5CD8" w:rsidRDefault="004B7014" w:rsidP="000E7392">
      <w:pPr>
        <w:jc w:val="both"/>
        <w:rPr>
          <w:sz w:val="12"/>
          <w:szCs w:val="12"/>
        </w:rPr>
      </w:pPr>
    </w:p>
    <w:p w:rsidR="00AE5CD8" w:rsidRDefault="00AE5CD8" w:rsidP="00AE5CD8">
      <w:pPr>
        <w:jc w:val="center"/>
        <w:rPr>
          <w:b/>
        </w:rPr>
      </w:pPr>
      <w:r>
        <w:rPr>
          <w:b/>
        </w:rPr>
        <w:t>(Administrative Expense + Capital Expense) / Total Budget Expense</w:t>
      </w:r>
    </w:p>
    <w:p w:rsidR="00AE5CD8" w:rsidRPr="00AE5CD8" w:rsidRDefault="00AE5CD8" w:rsidP="00AE5CD8">
      <w:pPr>
        <w:jc w:val="center"/>
        <w:rPr>
          <w:sz w:val="12"/>
          <w:szCs w:val="12"/>
        </w:rPr>
      </w:pPr>
    </w:p>
    <w:p w:rsidR="00AE5CD8" w:rsidRDefault="00AE5CD8" w:rsidP="00AE5CD8">
      <w:pPr>
        <w:pStyle w:val="ListParagraph"/>
        <w:numPr>
          <w:ilvl w:val="0"/>
          <w:numId w:val="2"/>
        </w:numPr>
        <w:jc w:val="both"/>
      </w:pPr>
      <w:r>
        <w:t xml:space="preserve">A BOCES </w:t>
      </w:r>
      <w:r>
        <w:rPr>
          <w:b/>
          <w:i/>
        </w:rPr>
        <w:t xml:space="preserve">may charge up to, but not </w:t>
      </w:r>
      <w:r w:rsidR="00BC2763">
        <w:rPr>
          <w:b/>
          <w:i/>
        </w:rPr>
        <w:t>more than</w:t>
      </w:r>
      <w:r>
        <w:rPr>
          <w:b/>
          <w:i/>
        </w:rPr>
        <w:t xml:space="preserve">, </w:t>
      </w:r>
      <w:r>
        <w:t>the calculated percentage starting in the 2014-2015 school year.</w:t>
      </w:r>
    </w:p>
    <w:p w:rsidR="00AE5CD8" w:rsidRPr="00AE5CD8" w:rsidRDefault="00AE5CD8" w:rsidP="00AE5CD8">
      <w:pPr>
        <w:pStyle w:val="ListParagraph"/>
        <w:jc w:val="both"/>
        <w:rPr>
          <w:sz w:val="12"/>
          <w:szCs w:val="12"/>
        </w:rPr>
      </w:pPr>
    </w:p>
    <w:p w:rsidR="00AE5CD8" w:rsidRDefault="00AE5CD8" w:rsidP="00AE5CD8">
      <w:pPr>
        <w:pStyle w:val="ListParagraph"/>
        <w:numPr>
          <w:ilvl w:val="0"/>
          <w:numId w:val="2"/>
        </w:numPr>
        <w:jc w:val="both"/>
      </w:pPr>
      <w:r>
        <w:t xml:space="preserve">Cross contracts between BOCES shall be handled in the same manner </w:t>
      </w:r>
      <w:r>
        <w:rPr>
          <w:b/>
        </w:rPr>
        <w:t xml:space="preserve">(up to but not </w:t>
      </w:r>
      <w:r w:rsidR="00BC2763">
        <w:rPr>
          <w:b/>
        </w:rPr>
        <w:t>more than</w:t>
      </w:r>
      <w:r>
        <w:rPr>
          <w:b/>
        </w:rPr>
        <w:t>)</w:t>
      </w:r>
      <w:r>
        <w:t>.</w:t>
      </w:r>
    </w:p>
    <w:p w:rsidR="00B80C87" w:rsidRPr="006219D9" w:rsidRDefault="00B80C87" w:rsidP="00B80C87">
      <w:pPr>
        <w:pStyle w:val="ListParagraph"/>
        <w:rPr>
          <w:sz w:val="16"/>
          <w:szCs w:val="16"/>
        </w:rPr>
      </w:pPr>
    </w:p>
    <w:p w:rsidR="00B80C87" w:rsidRDefault="00B80C87" w:rsidP="00AE5CD8">
      <w:pPr>
        <w:pStyle w:val="ListParagraph"/>
        <w:numPr>
          <w:ilvl w:val="0"/>
          <w:numId w:val="2"/>
        </w:numPr>
        <w:jc w:val="both"/>
      </w:pPr>
      <w:r>
        <w:t>It should be emphasized that there is no requirement that such a charge be imposed.</w:t>
      </w:r>
    </w:p>
    <w:p w:rsidR="00AE5CD8" w:rsidRPr="006219D9" w:rsidRDefault="00AE5CD8" w:rsidP="00AE5CD8">
      <w:pPr>
        <w:pStyle w:val="ListParagraph"/>
        <w:jc w:val="both"/>
        <w:rPr>
          <w:sz w:val="18"/>
          <w:szCs w:val="18"/>
        </w:rPr>
      </w:pPr>
    </w:p>
    <w:p w:rsidR="004B7014" w:rsidRDefault="004B7014" w:rsidP="000E7392">
      <w:pPr>
        <w:jc w:val="both"/>
      </w:pPr>
      <w:r>
        <w:t xml:space="preserve">The administrative fee shall not be charged to each district, but instead, shall be added to the cross contract between </w:t>
      </w:r>
      <w:r w:rsidR="000E7392">
        <w:t>ES</w:t>
      </w:r>
      <w:r>
        <w:t>BOCES</w:t>
      </w:r>
      <w:r w:rsidR="000E7392">
        <w:t xml:space="preserve"> and the contracting BOCES</w:t>
      </w:r>
      <w:r>
        <w:t xml:space="preserve">.  It would be the decision of the contracting BOCES whether to absorb this fee as an administrative expense of its districts, or to allocate it to the individual districts that purchase </w:t>
      </w:r>
      <w:r w:rsidR="000E7392">
        <w:t>ES</w:t>
      </w:r>
      <w:r>
        <w:t>BOCES services.</w:t>
      </w:r>
    </w:p>
    <w:p w:rsidR="004B7014" w:rsidRPr="006219D9" w:rsidRDefault="004B7014" w:rsidP="000E7392">
      <w:pPr>
        <w:jc w:val="both"/>
        <w:rPr>
          <w:sz w:val="18"/>
          <w:szCs w:val="18"/>
        </w:rPr>
      </w:pPr>
    </w:p>
    <w:p w:rsidR="004B7014" w:rsidRDefault="004B7014" w:rsidP="000E7392">
      <w:pPr>
        <w:jc w:val="both"/>
      </w:pPr>
      <w:r>
        <w:t>All revenue generated from this administrative charge shall be credited to the administrative (001) budget.</w:t>
      </w:r>
    </w:p>
    <w:p w:rsidR="004B7014" w:rsidRDefault="004B7014"/>
    <w:p w:rsidR="004B7014" w:rsidRDefault="004B7014">
      <w:pPr>
        <w:keepNext/>
        <w:rPr>
          <w:b/>
          <w:bCs/>
          <w:sz w:val="16"/>
        </w:rPr>
      </w:pPr>
    </w:p>
    <w:p w:rsidR="004B7014" w:rsidRDefault="00D601D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4B7014">
        <w:rPr>
          <w:sz w:val="18"/>
        </w:rPr>
        <w:t>Adopted:  7/1/</w:t>
      </w:r>
      <w:r w:rsidR="00B843C0">
        <w:rPr>
          <w:sz w:val="18"/>
        </w:rPr>
        <w:t>20</w:t>
      </w:r>
      <w:r w:rsidR="004B7014">
        <w:rPr>
          <w:sz w:val="18"/>
        </w:rPr>
        <w:t>03</w:t>
      </w:r>
    </w:p>
    <w:p w:rsidR="004B7014" w:rsidRDefault="00D601D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0E7392">
        <w:rPr>
          <w:sz w:val="18"/>
        </w:rPr>
        <w:t>adopt</w:t>
      </w:r>
      <w:r>
        <w:rPr>
          <w:sz w:val="18"/>
        </w:rPr>
        <w:t>ed</w:t>
      </w:r>
      <w:r w:rsidR="004B7014">
        <w:rPr>
          <w:sz w:val="18"/>
        </w:rPr>
        <w:t xml:space="preserve">:  </w:t>
      </w:r>
      <w:r w:rsidR="000E7392">
        <w:rPr>
          <w:sz w:val="18"/>
        </w:rPr>
        <w:t>7/11/</w:t>
      </w:r>
      <w:r w:rsidR="00B843C0">
        <w:rPr>
          <w:sz w:val="18"/>
        </w:rPr>
        <w:t>20</w:t>
      </w:r>
      <w:r w:rsidR="000E7392">
        <w:rPr>
          <w:sz w:val="18"/>
        </w:rPr>
        <w:t>07</w:t>
      </w:r>
    </w:p>
    <w:p w:rsidR="000E7392" w:rsidRDefault="00B843C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194B40">
        <w:rPr>
          <w:sz w:val="18"/>
        </w:rPr>
        <w:t>7</w:t>
      </w:r>
      <w:r>
        <w:rPr>
          <w:sz w:val="18"/>
        </w:rPr>
        <w:t>/</w:t>
      </w:r>
      <w:r w:rsidR="00194B40">
        <w:rPr>
          <w:sz w:val="18"/>
        </w:rPr>
        <w:t>6</w:t>
      </w:r>
      <w:bookmarkStart w:id="0" w:name="_GoBack"/>
      <w:bookmarkEnd w:id="0"/>
      <w:r>
        <w:rPr>
          <w:sz w:val="18"/>
        </w:rPr>
        <w:t>/2016</w:t>
      </w:r>
    </w:p>
    <w:sectPr w:rsidR="000E7392" w:rsidSect="00336F54">
      <w:headerReference w:type="default" r:id="rId9"/>
      <w:type w:val="continuous"/>
      <w:pgSz w:w="12240" w:h="15840"/>
      <w:pgMar w:top="1440" w:right="1440" w:bottom="1008" w:left="1440" w:header="720" w:footer="720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C1" w:rsidRDefault="00733BC1" w:rsidP="004B7014">
      <w:pPr>
        <w:pStyle w:val="BodyText"/>
      </w:pPr>
      <w:r>
        <w:separator/>
      </w:r>
    </w:p>
  </w:endnote>
  <w:endnote w:type="continuationSeparator" w:id="0">
    <w:p w:rsidR="00733BC1" w:rsidRDefault="00733BC1" w:rsidP="004B7014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C1" w:rsidRDefault="00733BC1" w:rsidP="004B7014">
      <w:pPr>
        <w:pStyle w:val="BodyText"/>
      </w:pPr>
      <w:r>
        <w:separator/>
      </w:r>
    </w:p>
  </w:footnote>
  <w:footnote w:type="continuationSeparator" w:id="0">
    <w:p w:rsidR="00733BC1" w:rsidRDefault="00733BC1" w:rsidP="004B7014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392" w:rsidRPr="000E7392" w:rsidRDefault="009C19B2" w:rsidP="000E7392">
    <w:pPr>
      <w:pStyle w:val="Header"/>
      <w:jc w:val="right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899E8" wp14:editId="53D522B6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392" w:rsidRDefault="009C19B2" w:rsidP="000E739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A42C21" wp14:editId="6E3DAF8C">
                                <wp:extent cx="1557655" cy="945515"/>
                                <wp:effectExtent l="0" t="0" r="4445" b="6985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7655" cy="945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" stroked="f">
              <v:textbox style="mso-fit-shape-to-text:t">
                <w:txbxContent>
                  <w:p w:rsidR="000E7392" w:rsidRDefault="009C19B2" w:rsidP="000E73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57655" cy="945515"/>
                          <wp:effectExtent l="0" t="0" r="4445" b="6985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7655" cy="9455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A17A42" wp14:editId="77DBFD28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" strokeweight="3pt"/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BD6CD" wp14:editId="08BC4646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392" w:rsidRDefault="000E7392" w:rsidP="000E7392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0E7392" w:rsidRDefault="000E7392" w:rsidP="000E7392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3Hpgg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" stroked="f">
              <v:textbox>
                <w:txbxContent>
                  <w:p w:rsidR="000E7392" w:rsidRDefault="000E7392" w:rsidP="000E7392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0E7392" w:rsidRDefault="000E7392" w:rsidP="000E7392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0E7392">
      <w:rPr>
        <w:b/>
        <w:sz w:val="20"/>
      </w:rPr>
      <w:t>4240</w:t>
    </w:r>
  </w:p>
  <w:p w:rsidR="000E7392" w:rsidRPr="000E7392" w:rsidRDefault="000E7392" w:rsidP="000E7392">
    <w:pPr>
      <w:pStyle w:val="Header"/>
      <w:jc w:val="right"/>
      <w:rPr>
        <w:b/>
        <w:sz w:val="20"/>
      </w:rPr>
    </w:pPr>
    <w:r w:rsidRPr="000E7392">
      <w:rPr>
        <w:b/>
        <w:sz w:val="20"/>
      </w:rPr>
      <w:t xml:space="preserve">Page </w:t>
    </w:r>
    <w:r w:rsidRPr="000E7392">
      <w:rPr>
        <w:rStyle w:val="PageNumber"/>
        <w:b/>
        <w:sz w:val="20"/>
      </w:rPr>
      <w:fldChar w:fldCharType="begin"/>
    </w:r>
    <w:r w:rsidRPr="000E7392">
      <w:rPr>
        <w:rStyle w:val="PageNumber"/>
        <w:b/>
        <w:sz w:val="20"/>
      </w:rPr>
      <w:instrText xml:space="preserve"> PAGE </w:instrText>
    </w:r>
    <w:r w:rsidRPr="000E7392">
      <w:rPr>
        <w:rStyle w:val="PageNumber"/>
        <w:b/>
        <w:sz w:val="20"/>
      </w:rPr>
      <w:fldChar w:fldCharType="separate"/>
    </w:r>
    <w:r w:rsidR="00A543A7">
      <w:rPr>
        <w:rStyle w:val="PageNumber"/>
        <w:b/>
        <w:noProof/>
        <w:sz w:val="20"/>
      </w:rPr>
      <w:t>1</w:t>
    </w:r>
    <w:r w:rsidRPr="000E7392">
      <w:rPr>
        <w:rStyle w:val="PageNumber"/>
        <w:b/>
        <w:sz w:val="20"/>
      </w:rPr>
      <w:fldChar w:fldCharType="end"/>
    </w:r>
    <w:r w:rsidRPr="000E7392">
      <w:rPr>
        <w:b/>
        <w:sz w:val="20"/>
      </w:rPr>
      <w:t xml:space="preserve"> of </w:t>
    </w:r>
    <w:r w:rsidRPr="000E7392">
      <w:rPr>
        <w:rStyle w:val="PageNumber"/>
        <w:b/>
        <w:sz w:val="20"/>
      </w:rPr>
      <w:fldChar w:fldCharType="begin"/>
    </w:r>
    <w:r w:rsidRPr="000E7392">
      <w:rPr>
        <w:rStyle w:val="PageNumber"/>
        <w:b/>
        <w:sz w:val="20"/>
      </w:rPr>
      <w:instrText xml:space="preserve"> NUMPAGES </w:instrText>
    </w:r>
    <w:r w:rsidRPr="000E7392">
      <w:rPr>
        <w:rStyle w:val="PageNumber"/>
        <w:b/>
        <w:sz w:val="20"/>
      </w:rPr>
      <w:fldChar w:fldCharType="separate"/>
    </w:r>
    <w:r w:rsidR="00A543A7">
      <w:rPr>
        <w:rStyle w:val="PageNumber"/>
        <w:b/>
        <w:noProof/>
        <w:sz w:val="20"/>
      </w:rPr>
      <w:t>1</w:t>
    </w:r>
    <w:r w:rsidRPr="000E7392">
      <w:rPr>
        <w:rStyle w:val="PageNumber"/>
        <w:b/>
        <w:sz w:val="20"/>
      </w:rPr>
      <w:fldChar w:fldCharType="end"/>
    </w:r>
  </w:p>
  <w:p w:rsidR="000E7392" w:rsidRDefault="000E7392" w:rsidP="000E7392">
    <w:pPr>
      <w:pStyle w:val="Header"/>
      <w:jc w:val="right"/>
      <w:rPr>
        <w:b/>
      </w:rPr>
    </w:pPr>
  </w:p>
  <w:p w:rsidR="000E7392" w:rsidRDefault="000E7392" w:rsidP="000E7392">
    <w:pPr>
      <w:pStyle w:val="Header"/>
      <w:jc w:val="right"/>
      <w:rPr>
        <w:b/>
      </w:rPr>
    </w:pPr>
  </w:p>
  <w:p w:rsidR="000E7392" w:rsidRPr="00FD016B" w:rsidRDefault="000E7392" w:rsidP="000E7392">
    <w:pPr>
      <w:pStyle w:val="Header"/>
      <w:jc w:val="right"/>
      <w:rPr>
        <w:b/>
        <w:sz w:val="24"/>
      </w:rPr>
    </w:pPr>
    <w:r>
      <w:rPr>
        <w:b/>
        <w:sz w:val="24"/>
      </w:rPr>
      <w:t>Administrative Charge</w:t>
    </w:r>
  </w:p>
  <w:p w:rsidR="000E7392" w:rsidRPr="000E7392" w:rsidRDefault="000E7392" w:rsidP="000E7392">
    <w:pPr>
      <w:pStyle w:val="Header"/>
      <w:jc w:val="right"/>
      <w:rPr>
        <w:b/>
        <w:sz w:val="20"/>
      </w:rPr>
    </w:pPr>
  </w:p>
  <w:p w:rsidR="000E7392" w:rsidRPr="000A78A3" w:rsidRDefault="000E7392" w:rsidP="000E7392">
    <w:pPr>
      <w:pStyle w:val="Header"/>
      <w:jc w:val="right"/>
      <w:rPr>
        <w:b/>
        <w:sz w:val="24"/>
        <w:szCs w:val="24"/>
      </w:rPr>
    </w:pPr>
  </w:p>
  <w:p w:rsidR="000E7392" w:rsidRDefault="000E7392" w:rsidP="000E7392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:rsidR="000E7392" w:rsidRDefault="000E7392" w:rsidP="000E7392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0E7392" w:rsidRDefault="000E7392" w:rsidP="000E7392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0E7392" w:rsidRPr="008D1520" w:rsidRDefault="000E7392" w:rsidP="000E7392">
    <w:pPr>
      <w:pStyle w:val="Header"/>
      <w:rPr>
        <w:rFonts w:ascii="Arial Narrow" w:hAnsi="Arial Narrow"/>
        <w:sz w:val="10"/>
        <w:szCs w:val="16"/>
      </w:rPr>
    </w:pPr>
  </w:p>
  <w:p w:rsidR="000E7392" w:rsidRPr="000A78A3" w:rsidRDefault="009C19B2" w:rsidP="000E7392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546067" wp14:editId="06035791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/w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52E61"/>
    <w:multiLevelType w:val="hybridMultilevel"/>
    <w:tmpl w:val="F480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B3797"/>
    <w:multiLevelType w:val="hybridMultilevel"/>
    <w:tmpl w:val="8F20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91rDNn9QBz9J/CWPL+gI0KntqMY=" w:salt="a7ZMuyz1t3g48Nm8i7U1D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DF"/>
    <w:rsid w:val="000E7392"/>
    <w:rsid w:val="000F3495"/>
    <w:rsid w:val="001873D4"/>
    <w:rsid w:val="00194B40"/>
    <w:rsid w:val="00336F54"/>
    <w:rsid w:val="004B7014"/>
    <w:rsid w:val="004F2A78"/>
    <w:rsid w:val="006219D9"/>
    <w:rsid w:val="00733BC1"/>
    <w:rsid w:val="0089621D"/>
    <w:rsid w:val="009C19B2"/>
    <w:rsid w:val="00A3490E"/>
    <w:rsid w:val="00A543A7"/>
    <w:rsid w:val="00A8257B"/>
    <w:rsid w:val="00AE5CD8"/>
    <w:rsid w:val="00B80C87"/>
    <w:rsid w:val="00B843C0"/>
    <w:rsid w:val="00BC2763"/>
    <w:rsid w:val="00CA3CD8"/>
    <w:rsid w:val="00D6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7392"/>
  </w:style>
  <w:style w:type="paragraph" w:styleId="BalloonText">
    <w:name w:val="Balloon Text"/>
    <w:basedOn w:val="Normal"/>
    <w:semiHidden/>
    <w:rsid w:val="000E73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E7392"/>
    <w:rPr>
      <w:sz w:val="16"/>
      <w:szCs w:val="16"/>
    </w:rPr>
  </w:style>
  <w:style w:type="paragraph" w:styleId="CommentText">
    <w:name w:val="annotation text"/>
    <w:basedOn w:val="Normal"/>
    <w:semiHidden/>
    <w:rsid w:val="000E73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0E7392"/>
    <w:rPr>
      <w:b/>
      <w:bCs/>
    </w:rPr>
  </w:style>
  <w:style w:type="paragraph" w:styleId="ListParagraph">
    <w:name w:val="List Paragraph"/>
    <w:basedOn w:val="Normal"/>
    <w:uiPriority w:val="34"/>
    <w:qFormat/>
    <w:rsid w:val="00AE5CD8"/>
    <w:pPr>
      <w:ind w:left="720"/>
      <w:contextualSpacing/>
    </w:pPr>
  </w:style>
  <w:style w:type="character" w:styleId="Hyperlink">
    <w:name w:val="Hyperlink"/>
    <w:basedOn w:val="DefaultParagraphFont"/>
    <w:rsid w:val="00AE5C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7392"/>
  </w:style>
  <w:style w:type="paragraph" w:styleId="BalloonText">
    <w:name w:val="Balloon Text"/>
    <w:basedOn w:val="Normal"/>
    <w:semiHidden/>
    <w:rsid w:val="000E73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E7392"/>
    <w:rPr>
      <w:sz w:val="16"/>
      <w:szCs w:val="16"/>
    </w:rPr>
  </w:style>
  <w:style w:type="paragraph" w:styleId="CommentText">
    <w:name w:val="annotation text"/>
    <w:basedOn w:val="Normal"/>
    <w:semiHidden/>
    <w:rsid w:val="000E73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0E7392"/>
    <w:rPr>
      <w:b/>
      <w:bCs/>
    </w:rPr>
  </w:style>
  <w:style w:type="paragraph" w:styleId="ListParagraph">
    <w:name w:val="List Paragraph"/>
    <w:basedOn w:val="Normal"/>
    <w:uiPriority w:val="34"/>
    <w:qFormat/>
    <w:rsid w:val="00AE5CD8"/>
    <w:pPr>
      <w:ind w:left="720"/>
      <w:contextualSpacing/>
    </w:pPr>
  </w:style>
  <w:style w:type="character" w:styleId="Hyperlink">
    <w:name w:val="Hyperlink"/>
    <w:basedOn w:val="DefaultParagraphFont"/>
    <w:rsid w:val="00AE5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12.nysed.gov/mgtserv/boces/budg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314</Words>
  <Characters>1885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instances where BOCES provides services to non-component districts or public governmental agencies, financial compensation</vt:lpstr>
    </vt:vector>
  </TitlesOfParts>
  <Company>Eastern Suffolk BOCES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instances where BOCES provides services to non-component districts or public governmental agencies, financial compensation</dc:title>
  <dc:creator>Pamela  Arrasate</dc:creator>
  <cp:lastModifiedBy>Administrator</cp:lastModifiedBy>
  <cp:revision>15</cp:revision>
  <cp:lastPrinted>2016-07-11T12:20:00Z</cp:lastPrinted>
  <dcterms:created xsi:type="dcterms:W3CDTF">2016-04-06T14:29:00Z</dcterms:created>
  <dcterms:modified xsi:type="dcterms:W3CDTF">2016-07-11T12:20:00Z</dcterms:modified>
</cp:coreProperties>
</file>